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350" w:rsidRPr="005C18B6" w:rsidRDefault="002E5350" w:rsidP="00313F92">
      <w:pPr>
        <w:tabs>
          <w:tab w:val="left" w:pos="5565"/>
        </w:tabs>
        <w:rPr>
          <w:rFonts w:ascii="Calibri" w:hAnsi="Calibri" w:cs="Calibri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2E5350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E5350" w:rsidRPr="00497C57" w:rsidRDefault="002E5350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2E5350" w:rsidRPr="00497C57" w:rsidRDefault="002E5350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2E5350" w:rsidRPr="00A45B81" w:rsidRDefault="002E5350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5350" w:rsidRPr="00A45B81" w:rsidRDefault="002E5350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5350" w:rsidRPr="00A45B81" w:rsidRDefault="002E5350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E5350" w:rsidRPr="00A45B81" w:rsidRDefault="002E5350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5350" w:rsidRPr="00A45B81" w:rsidRDefault="002E5350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5350" w:rsidRPr="00A45B81" w:rsidRDefault="002E5350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2E5350" w:rsidRPr="00A45B81" w:rsidRDefault="002E5350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2E5350" w:rsidRPr="00497C57" w:rsidRDefault="002E5350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2E5350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2E5350" w:rsidRPr="00773A69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1658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534922771" w:edGrp="everyone"/>
            <w:r>
              <w:rPr>
                <w:rFonts w:ascii="Calibri" w:hAnsi="Calibri" w:cs="Calibri"/>
                <w:szCs w:val="26"/>
              </w:rPr>
              <w:t>TCLD_ERTR_FGTFP</w:t>
            </w:r>
            <w:permEnd w:id="153492277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2E5350" w:rsidRPr="00497C57" w:rsidRDefault="002E5350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2E5350">
                <w:rPr>
                  <w:rStyle w:val="Collegamentoipertestuale"/>
                  <w:rFonts w:ascii="Calibri" w:hAnsi="Calibri" w:cs="Calibri"/>
                  <w:szCs w:val="20"/>
                </w:rPr>
                <w:t>16589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2E5350">
                <w:rPr>
                  <w:rStyle w:val="Collegamentoipertestuale"/>
                  <w:rFonts w:ascii="Calibri" w:hAnsi="Calibri" w:cs="Calibri"/>
                  <w:szCs w:val="20"/>
                </w:rPr>
                <w:t>64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2E5350" w:rsidRPr="00497C57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2E5350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CF18D8">
            <w:pPr>
              <w:pStyle w:val="TFSWorkitem3"/>
              <w:keepLines/>
            </w:pPr>
            <w:r>
              <w:t>Feature 16589 - Gestione TFR privatistico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2E5350" w:rsidRPr="004952F2" w:rsidRDefault="002E5350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2E5350" w:rsidRPr="0018760B" w:rsidRDefault="002E5350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2E5350" w:rsidRPr="004952F2" w:rsidRDefault="002E5350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592725777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498407810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2E5350" w:rsidRPr="00324ECD" w:rsidRDefault="002E5350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1592725777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024082095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Gestione TFR privatistico</w:t>
            </w:r>
            <w:permEnd w:id="1024082095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2E5350" w:rsidRPr="00A3613B" w:rsidRDefault="002E5350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2E5350" w:rsidRPr="005C18B6" w:rsidRDefault="002E5350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2E5350" w:rsidRPr="005C18B6" w:rsidRDefault="002E5350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permStart w:id="990672441" w:edGrp="everyone"/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consentire la gestione del TFR privatistico.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In particolarel’operatore di amministrazione deve poter configurare per ciascun amministrato l’opzione relativa alle forme ammesse di gestione del TFR: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TFR in Azienda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TFR presso l’INPS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TFR c/o fondo pensioni complementari e percentuale di adesione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Legge di Stabilità 2015 (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comma 26 della legge 190/2014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), è l’anticipo mensile del TFR in busta paga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per gli amministrati che hanno optato per il TFR in Azienda deve poter generare per ogni periodo (attualmente anno) il TFR maturato.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deve: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2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verificare, per ciascun periodo, la maturazione dei ratei TFR, come descritto nella Feature “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TCLD_ECNF_FCTFR – Configurazione TFR privatistico</w:t>
            </w:r>
            <w:r>
              <w:rPr>
                <w:rFonts w:ascii="Tahoma" w:hAnsi="Tahoma" w:cs="Tahoma"/>
                <w:sz w:val="18"/>
                <w:szCs w:val="18"/>
              </w:rPr>
              <w:t>”;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Quantificare, per i periodi (mesi) con maturazione rateo TFR, il totale delle retribuzioni percepite dall’amministrato nel periodo (anno) e utili alla quantificazione del TFR, come configurato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TCLD_ECNF_FCTFR – Configurazione TFR privatistico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”, con la seguente eccezione: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3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 xml:space="preserve">per una delle cause di cui all'articolo </w:t>
            </w:r>
            <w:hyperlink r:id="rId7" w:tooltip="Infortunio, malattia, gravidanza, puerperio" w:history="1">
              <w:r>
                <w:rPr>
                  <w:rStyle w:val="Collegamentoipertestuale"/>
                  <w:rFonts w:ascii="Tahoma" w:hAnsi="Tahoma" w:cs="Tahoma"/>
                  <w:sz w:val="18"/>
                  <w:szCs w:val="18"/>
                </w:rPr>
                <w:t>2110</w:t>
              </w:r>
            </w:hyperlink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codice civile, nonché in caso di sospensione totale o parziale per la quale sia prevista l'integrazione salariale, deve essere computato nella retribuzione di cui al primo comma l'equivalente della retribuzione a cui il lavoratore avrebbe avuto diritto in caso di normale svolgimento del rapporto di lavoro.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Dividere il totale delle retribuzione per il divisore. 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deve poter rivalutare il TFR accantonato precedentemente in base ai Tassi configurati come in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TCLD_ECNF_FCTFR – Configurazione TFR privatistico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deve poter registrare l’erogazione di anticipazioni TFR che dovranno essere lette ed elaborate dalla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TCLD_ERTR_FGIL0 - Generazione imposta lorda".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deve poter inserire/variare/eliminare operazioni sul TFR accantonato/rivalutato.L’operatore di amministrazione deve poter generare l’imposta sostitutiva (codice tributo 1712) sulla rivalutazione TFR come configurato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TCLD_ECNF_FCTFR – Configurazione TFR privatistico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4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Acconto imposta sostitutiva (versamento 16/12)</w:t>
            </w:r>
          </w:p>
          <w:p w:rsidR="002E5350" w:rsidRDefault="002E5350" w:rsidP="002E5350">
            <w:pPr>
              <w:pStyle w:val="NormaleWeb"/>
              <w:numPr>
                <w:ilvl w:val="0"/>
                <w:numId w:val="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Saldo imposta sostitutiva (versamento 16/02)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deve poter generare il contributo INPS (attualmente 0,50%) sul TFR maturato.</w:t>
            </w:r>
          </w:p>
          <w:p w:rsidR="002E5350" w:rsidRDefault="002E5350" w:rsidP="002E5350">
            <w:pPr>
              <w:pStyle w:val="NormaleWeb"/>
              <w:spacing w:before="60" w:beforeAutospacing="0" w:after="24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per gli amministrati che cessano in corso d’anno deve poter calcolare il TFR maturato alla data di cessazione e rivalutare il TFR accantonato con i tassi di rivalutazione rilevati dall’ISTAT nel mese precedente all’interruzione del rapporto di lavoro.</w:t>
            </w:r>
          </w:p>
          <w:p w:rsidR="002E5350" w:rsidRDefault="002E5350" w:rsidP="002E5350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di amministrazione per gli amministrati che hanno optato per l’adesione ad un fondo pensione complementare deve poter calcolare periodicamente, come da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TCLD_ECNF_FCTFR – Configurazione TFR privatistico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”, il TFR maturato per il versamento al fondo.</w:t>
            </w:r>
          </w:p>
          <w:p w:rsidR="002E5350" w:rsidRDefault="002E5350" w:rsidP="002E5350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procedere mensilmente alla valorizzazione del TFR  maturato  e suddividerlo fra la quota azienda e la quota fondo complementare in base alle scelte effettuate dall’amministrato.</w:t>
            </w:r>
          </w:p>
          <w:p w:rsidR="002E5350" w:rsidRDefault="002E5350" w:rsidP="002E5350">
            <w:pPr>
              <w:pStyle w:val="NormaleWeb"/>
            </w:pPr>
          </w:p>
          <w:p w:rsidR="002E5350" w:rsidRDefault="002E5350" w:rsidP="002E5350">
            <w:pPr>
              <w:pStyle w:val="NormaleWeb"/>
            </w:pPr>
          </w:p>
          <w:p w:rsidR="002E5350" w:rsidRDefault="002E5350" w:rsidP="002E5350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8145125" cy="6791325"/>
                  <wp:effectExtent l="0" t="0" r="9525" b="9525"/>
                  <wp:docPr id="1" name="Immagine 1" descr="http://tfsprod.mef.gov.it/tfs/Cloudify-NoiPA/WorkItemTracking/v1.0/AttachFileHandler.ashx?FileNameGuid=52cc16f2-b6fe-490d-b1cc-58698bc94f95&amp;FileName=tfr%20privatisti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fsprod.mef.gov.it/tfs/Cloudify-NoiPA/WorkItemTracking/v1.0/AttachFileHandler.ashx?FileNameGuid=52cc16f2-b6fe-490d-b1cc-58698bc94f95&amp;FileName=tfr%20privatisti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5125" cy="679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5350" w:rsidRDefault="002E5350" w:rsidP="002E5350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990672441"/>
          <w:p w:rsidR="002E5350" w:rsidRPr="005C18B6" w:rsidRDefault="002E5350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2E5350" w:rsidRPr="00A3613B" w:rsidRDefault="002E5350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2E5350" w:rsidRPr="00A64A6F" w:rsidRDefault="002E5350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F5701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04674F" w:rsidRDefault="002E5350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04674F" w:rsidRDefault="002E5350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04674F" w:rsidRDefault="002E5350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2E5350" w:rsidRPr="005C18B6" w:rsidRDefault="002E5350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F5701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F5701A" w:rsidRDefault="002E5350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60683A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350" w:rsidRPr="0004674F" w:rsidRDefault="002E5350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2E5350" w:rsidRPr="005C18B6" w:rsidRDefault="002E5350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2E5350" w:rsidRPr="005C18B6" w:rsidRDefault="002E5350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2E5350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2E5350" w:rsidRPr="00657300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2E5350" w:rsidRPr="00AD37E8" w:rsidRDefault="002E5350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350" w:rsidRPr="00107C08" w:rsidRDefault="002E5350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2E5350" w:rsidRPr="00107C08" w:rsidRDefault="002E5350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350" w:rsidRPr="00107C08" w:rsidRDefault="002E5350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350" w:rsidRPr="00107C08" w:rsidRDefault="002E5350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350" w:rsidRPr="00107C08" w:rsidRDefault="002E5350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2E5350" w:rsidRPr="00657300" w:rsidRDefault="002E5350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350" w:rsidRPr="00107C08" w:rsidRDefault="002E5350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2E5350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2E5350" w:rsidRPr="005C18B6" w:rsidRDefault="002E5350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2E5350" w:rsidRPr="005C18B6" w:rsidRDefault="002E5350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2E5350" w:rsidRPr="005C18B6" w:rsidRDefault="002E5350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2E5350" w:rsidRPr="00426C9B" w:rsidRDefault="002E5350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426C9B" w:rsidRDefault="002E5350" w:rsidP="007065F3">
      <w:pPr>
        <w:spacing w:line="14" w:lineRule="exact"/>
        <w:contextualSpacing/>
        <w:rPr>
          <w:vanish/>
          <w:sz w:val="2"/>
          <w:szCs w:val="20"/>
        </w:rPr>
      </w:pPr>
    </w:p>
    <w:p w:rsidR="002E5350" w:rsidRPr="005C18B6" w:rsidRDefault="002E5350" w:rsidP="007065F3">
      <w:pPr>
        <w:rPr>
          <w:rFonts w:ascii="Calibri" w:hAnsi="Calibri" w:cs="Calibri"/>
        </w:rPr>
      </w:pPr>
    </w:p>
    <w:p w:rsidR="002E5350" w:rsidRPr="005C18B6" w:rsidRDefault="002E5350" w:rsidP="007065F3">
      <w:pPr>
        <w:rPr>
          <w:rFonts w:ascii="Calibri" w:hAnsi="Calibri" w:cs="Calibri"/>
        </w:rPr>
      </w:pPr>
      <w:permStart w:id="2040758160" w:edGrp="everyone"/>
      <w:permEnd w:id="2040758160"/>
    </w:p>
    <w:p w:rsidR="009F2C77" w:rsidRDefault="009F2C77">
      <w:bookmarkStart w:id="1" w:name="_GoBack"/>
      <w:bookmarkEnd w:id="1"/>
    </w:p>
    <w:sectPr w:rsidR="009F2C77" w:rsidSect="00AD7F33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2E5350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2E5350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2E5350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2E5350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2E5350" w:rsidP="00014E44">
    <w:pPr>
      <w:pStyle w:val="Pidipagina"/>
      <w:widowControl w:val="0"/>
    </w:pPr>
  </w:p>
  <w:p w:rsidR="008B00A2" w:rsidRDefault="002E535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2E5350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2E5350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30C7E"/>
    <w:multiLevelType w:val="multilevel"/>
    <w:tmpl w:val="E6F29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527CC1"/>
    <w:multiLevelType w:val="multilevel"/>
    <w:tmpl w:val="9130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724578E"/>
    <w:multiLevelType w:val="multilevel"/>
    <w:tmpl w:val="3C36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C463D6F"/>
    <w:multiLevelType w:val="multilevel"/>
    <w:tmpl w:val="3C9E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2E5350"/>
    <w:rsid w:val="002E5350"/>
    <w:rsid w:val="009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A0C6B9-AF09-44F8-AD19-17F1952E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E535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5350"/>
  </w:style>
  <w:style w:type="paragraph" w:styleId="Pidipagina">
    <w:name w:val="footer"/>
    <w:basedOn w:val="Normale"/>
    <w:link w:val="Pidipagina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5350"/>
  </w:style>
  <w:style w:type="paragraph" w:customStyle="1" w:styleId="TFSWorkitem3">
    <w:name w:val="TFS Workitem 3"/>
    <w:next w:val="Normale"/>
    <w:rsid w:val="002E5350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E5350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2E5350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2E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5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rocardi.it/codice-civile/libro-quinto/titolo-ii/capo-i/sezione-iii/art2110.htm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16589&amp;Rev=6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fsprod.mef.gov.it/tfs/web/wi.aspx?pcguid=3386bb2f-8429-493a-9ac0-2b7a589ccf8c&amp;id=16589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FB27BB-52FB-4533-8E4C-73A95B1F939F}"/>
      </w:docPartPr>
      <w:docPartBody>
        <w:p w:rsidR="00000000" w:rsidRDefault="003C306A">
          <w:r w:rsidRPr="00413493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06A"/>
    <w:rsid w:val="003C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C306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1</cp:revision>
  <dcterms:created xsi:type="dcterms:W3CDTF">2020-11-13T09:24:00Z</dcterms:created>
  <dcterms:modified xsi:type="dcterms:W3CDTF">2020-11-13T09:32:00Z</dcterms:modified>
</cp:coreProperties>
</file>